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E1961" w14:textId="472BFECC" w:rsidR="00F16484" w:rsidRPr="00B66925" w:rsidRDefault="00F16484" w:rsidP="00F16484">
      <w:pPr>
        <w:rPr>
          <w:b/>
          <w:bCs/>
        </w:rPr>
      </w:pPr>
      <w:r w:rsidRPr="00B66925">
        <w:rPr>
          <w:b/>
          <w:bCs/>
        </w:rPr>
        <w:t xml:space="preserve">Case </w:t>
      </w:r>
      <w:r w:rsidR="004164BA">
        <w:rPr>
          <w:b/>
          <w:bCs/>
        </w:rPr>
        <w:t>History</w:t>
      </w:r>
      <w:r w:rsidRPr="00B66925">
        <w:rPr>
          <w:b/>
          <w:bCs/>
        </w:rPr>
        <w:t xml:space="preserve">: Inversion Modelling of </w:t>
      </w:r>
      <w:r w:rsidR="003618F4">
        <w:rPr>
          <w:b/>
          <w:bCs/>
        </w:rPr>
        <w:t>Athabasca Uranium-Associated Alteration</w:t>
      </w:r>
      <w:r w:rsidRPr="00B66925">
        <w:rPr>
          <w:b/>
          <w:bCs/>
        </w:rPr>
        <w:t xml:space="preserve"> using Matrix</w:t>
      </w:r>
      <w:r w:rsidR="004164BA">
        <w:rPr>
          <w:rFonts w:cstheme="minorHAnsi"/>
        </w:rPr>
        <w:t>™</w:t>
      </w:r>
      <w:r w:rsidRPr="00B66925">
        <w:rPr>
          <w:b/>
          <w:bCs/>
        </w:rPr>
        <w:t xml:space="preserve"> VLF-EM</w:t>
      </w:r>
    </w:p>
    <w:p w14:paraId="4D761A80" w14:textId="61394A2F" w:rsidR="003618F4" w:rsidRDefault="00F16484" w:rsidP="00F16484">
      <w:r>
        <w:t xml:space="preserve">The </w:t>
      </w:r>
      <w:r w:rsidR="003618F4">
        <w:t xml:space="preserve">Athabasca Basin, in Northern </w:t>
      </w:r>
      <w:r w:rsidR="009C4538">
        <w:t>Saskatchewan</w:t>
      </w:r>
      <w:r w:rsidR="003618F4">
        <w:t xml:space="preserve">, is host to some of the world’s highest grade uranium mines. With uranium prices starting to rise and exploration interest growing, methods that can add targeting value without requiring excessive budgetary expenditures, </w:t>
      </w:r>
      <w:r w:rsidR="009C4538">
        <w:t>can play a key role</w:t>
      </w:r>
      <w:r w:rsidR="003618F4">
        <w:t>.</w:t>
      </w:r>
    </w:p>
    <w:p w14:paraId="0CE09C09" w14:textId="5717C121" w:rsidR="003618F4" w:rsidRDefault="003618F4" w:rsidP="003618F4">
      <w:r>
        <w:t>In this example, the geologic model is unconformity style</w:t>
      </w:r>
      <w:r w:rsidR="00932DF8">
        <w:t>. Here</w:t>
      </w:r>
      <w:r>
        <w:t xml:space="preserve">, high grade uranium mineralization located along the unconformity between the basement and overlying sandstones </w:t>
      </w:r>
      <w:r w:rsidR="00932DF8">
        <w:t>has</w:t>
      </w:r>
      <w:r>
        <w:t xml:space="preserve"> been remobilized upwards by hydrothermal fluids along steeply dipping faults</w:t>
      </w:r>
      <w:r w:rsidR="00932DF8">
        <w:t xml:space="preserve"> --</w:t>
      </w:r>
      <w:r>
        <w:t xml:space="preserve"> creating resistivity breaches</w:t>
      </w:r>
      <w:r w:rsidR="00932DF8">
        <w:t xml:space="preserve"> (highs)</w:t>
      </w:r>
      <w:r>
        <w:t xml:space="preserve"> in the sediments</w:t>
      </w:r>
      <w:r w:rsidR="00932DF8">
        <w:t xml:space="preserve"> which are</w:t>
      </w:r>
      <w:r>
        <w:t xml:space="preserve"> characterized by uranium and associated alteration. </w:t>
      </w:r>
    </w:p>
    <w:p w14:paraId="2E67BD9A" w14:textId="56203F22" w:rsidR="00F16484" w:rsidRPr="00B66925" w:rsidRDefault="00F16484" w:rsidP="00F16484">
      <w:pPr>
        <w:rPr>
          <w:b/>
          <w:bCs/>
        </w:rPr>
      </w:pPr>
      <w:r w:rsidRPr="00B66925">
        <w:rPr>
          <w:b/>
          <w:bCs/>
        </w:rPr>
        <w:t>Putting Matrix</w:t>
      </w:r>
      <w:r w:rsidR="004164BA">
        <w:rPr>
          <w:rFonts w:cstheme="minorHAnsi"/>
        </w:rPr>
        <w:t>™</w:t>
      </w:r>
      <w:r w:rsidRPr="00B66925">
        <w:rPr>
          <w:b/>
          <w:bCs/>
        </w:rPr>
        <w:t xml:space="preserve"> VLF into Action</w:t>
      </w:r>
      <w:r w:rsidR="003618F4">
        <w:rPr>
          <w:b/>
          <w:bCs/>
        </w:rPr>
        <w:t xml:space="preserve"> for Uranium-Associated Alteration</w:t>
      </w:r>
    </w:p>
    <w:p w14:paraId="295DABF2" w14:textId="1A51AA02" w:rsidR="003618F4" w:rsidRDefault="003618F4" w:rsidP="003618F4">
      <w:r>
        <w:t xml:space="preserve">Terraquest </w:t>
      </w:r>
      <w:r w:rsidR="00932DF8">
        <w:t xml:space="preserve">recently </w:t>
      </w:r>
      <w:r>
        <w:t>performed a Matrix</w:t>
      </w:r>
      <w:r w:rsidR="004164BA">
        <w:rPr>
          <w:rFonts w:cstheme="minorHAnsi"/>
        </w:rPr>
        <w:t>™</w:t>
      </w:r>
      <w:r>
        <w:t xml:space="preserve"> VLF-EM case study for uranium exploration in the Athabasca Basin. The purpose of the test was to determine if low-cost, shallow </w:t>
      </w:r>
      <w:r w:rsidR="004164BA">
        <w:t xml:space="preserve">airborne </w:t>
      </w:r>
      <w:r>
        <w:t xml:space="preserve">VLF-EM </w:t>
      </w:r>
      <w:r w:rsidR="004164BA">
        <w:t xml:space="preserve">survey </w:t>
      </w:r>
      <w:r>
        <w:t xml:space="preserve">techniques can be effective in identifying resistivity breaches. The VLF-EM data were inverted and are shown here compared with drill hole information and a DCIP resistivity profile. </w:t>
      </w:r>
    </w:p>
    <w:p w14:paraId="3A3D8DA4" w14:textId="3E9063ED" w:rsidR="003618F4" w:rsidRDefault="003618F4" w:rsidP="003618F4">
      <w:r>
        <w:t>As shown in the figure below, the inversion of airborne Matrix</w:t>
      </w:r>
      <w:r w:rsidR="004164BA">
        <w:rPr>
          <w:rFonts w:cstheme="minorHAnsi"/>
        </w:rPr>
        <w:t>™</w:t>
      </w:r>
      <w:r>
        <w:t xml:space="preserve"> VLF-EM in upper panel is at same vertical scale as the coincident inverted DCIP resistivity section. The image shows excellent correlation with the upper reaches of the DCIP resistivity breaches.</w:t>
      </w:r>
    </w:p>
    <w:p w14:paraId="666FA90A" w14:textId="11E65D72" w:rsidR="003618F4" w:rsidRDefault="003618F4" w:rsidP="003618F4">
      <w:pPr>
        <w:jc w:val="center"/>
      </w:pPr>
      <w:r>
        <w:rPr>
          <w:noProof/>
        </w:rPr>
        <w:drawing>
          <wp:inline distT="0" distB="0" distL="0" distR="0" wp14:anchorId="7C4E58D3" wp14:editId="23AE26C3">
            <wp:extent cx="4782429" cy="2667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88845" cy="2671214"/>
                    </a:xfrm>
                    <a:prstGeom prst="rect">
                      <a:avLst/>
                    </a:prstGeom>
                  </pic:spPr>
                </pic:pic>
              </a:graphicData>
            </a:graphic>
          </wp:inline>
        </w:drawing>
      </w:r>
    </w:p>
    <w:p w14:paraId="4D9B98DC" w14:textId="6508FFAA" w:rsidR="003618F4" w:rsidRPr="003618F4" w:rsidRDefault="003618F4" w:rsidP="003618F4">
      <w:pPr>
        <w:jc w:val="center"/>
        <w:rPr>
          <w:b/>
          <w:bCs/>
          <w:i/>
          <w:iCs/>
        </w:rPr>
      </w:pPr>
      <w:r w:rsidRPr="003618F4">
        <w:rPr>
          <w:b/>
          <w:bCs/>
          <w:i/>
          <w:iCs/>
        </w:rPr>
        <w:t xml:space="preserve">Figure 1: </w:t>
      </w:r>
      <w:r w:rsidR="00932DF8">
        <w:rPr>
          <w:b/>
          <w:bCs/>
          <w:i/>
          <w:iCs/>
        </w:rPr>
        <w:t xml:space="preserve">DCIP show a </w:t>
      </w:r>
      <w:r w:rsidRPr="003618F4">
        <w:rPr>
          <w:b/>
          <w:bCs/>
          <w:i/>
          <w:iCs/>
        </w:rPr>
        <w:t>lower resistivity breach is shown to the south and two near surface breaches in the central portion</w:t>
      </w:r>
      <w:r w:rsidR="00932DF8">
        <w:rPr>
          <w:b/>
          <w:bCs/>
          <w:i/>
          <w:iCs/>
        </w:rPr>
        <w:t xml:space="preserve">. These are defined in the VLF data and </w:t>
      </w:r>
      <w:r w:rsidR="009C4538">
        <w:rPr>
          <w:b/>
          <w:bCs/>
          <w:i/>
          <w:iCs/>
        </w:rPr>
        <w:t>represent</w:t>
      </w:r>
      <w:r w:rsidR="00932DF8">
        <w:rPr>
          <w:b/>
          <w:bCs/>
          <w:i/>
          <w:iCs/>
        </w:rPr>
        <w:t xml:space="preserve"> low-cost drill targets.</w:t>
      </w:r>
    </w:p>
    <w:p w14:paraId="3A8A5BE9" w14:textId="1FE12961" w:rsidR="00B66925" w:rsidRPr="00B66925" w:rsidRDefault="00B66925" w:rsidP="00F16484">
      <w:pPr>
        <w:rPr>
          <w:b/>
          <w:bCs/>
        </w:rPr>
      </w:pPr>
      <w:r w:rsidRPr="00B66925">
        <w:rPr>
          <w:b/>
          <w:bCs/>
        </w:rPr>
        <w:t>For More Information</w:t>
      </w:r>
    </w:p>
    <w:p w14:paraId="5E361F46" w14:textId="4EFB8C30" w:rsidR="00B66925" w:rsidRDefault="00B66925" w:rsidP="00F16484">
      <w:r>
        <w:t>Terraquest</w:t>
      </w:r>
      <w:r w:rsidR="00F16484">
        <w:t xml:space="preserve"> would be pleased to discuss </w:t>
      </w:r>
      <w:r>
        <w:t>Matrix</w:t>
      </w:r>
      <w:r w:rsidR="004164BA">
        <w:rPr>
          <w:rFonts w:cstheme="minorHAnsi"/>
        </w:rPr>
        <w:t>™</w:t>
      </w:r>
      <w:r>
        <w:t xml:space="preserve"> VLF surveys and interpretation approaches</w:t>
      </w:r>
      <w:r w:rsidR="00F16484">
        <w:t xml:space="preserve"> with you</w:t>
      </w:r>
      <w:r>
        <w:t>, includin</w:t>
      </w:r>
      <w:r w:rsidR="00F16484">
        <w:t xml:space="preserve">g </w:t>
      </w:r>
      <w:r w:rsidR="00B97BD3">
        <w:t>inversions of existing or planned data</w:t>
      </w:r>
      <w:r w:rsidR="00F16484">
        <w:t>.</w:t>
      </w:r>
      <w:r>
        <w:t xml:space="preserve"> For more information, click here </w:t>
      </w:r>
      <w:r w:rsidRPr="00B66925">
        <w:rPr>
          <w:highlight w:val="yellow"/>
        </w:rPr>
        <w:t>&lt;LINK to EASY-QUOTE</w:t>
      </w:r>
      <w:r>
        <w:rPr>
          <w:highlight w:val="yellow"/>
        </w:rPr>
        <w:t xml:space="preserve"> form</w:t>
      </w:r>
      <w:r w:rsidRPr="00B66925">
        <w:rPr>
          <w:highlight w:val="yellow"/>
        </w:rPr>
        <w:t>&gt;</w:t>
      </w:r>
      <w:r>
        <w:t>.</w:t>
      </w:r>
    </w:p>
    <w:sectPr w:rsidR="00B66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D044B"/>
    <w:multiLevelType w:val="hybridMultilevel"/>
    <w:tmpl w:val="CC22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386020"/>
    <w:multiLevelType w:val="hybridMultilevel"/>
    <w:tmpl w:val="F344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84"/>
    <w:rsid w:val="003618F4"/>
    <w:rsid w:val="00394A5E"/>
    <w:rsid w:val="004164BA"/>
    <w:rsid w:val="005F0717"/>
    <w:rsid w:val="00836C12"/>
    <w:rsid w:val="00932DF8"/>
    <w:rsid w:val="009C4538"/>
    <w:rsid w:val="00B020A3"/>
    <w:rsid w:val="00B66925"/>
    <w:rsid w:val="00B97BD3"/>
    <w:rsid w:val="00C10351"/>
    <w:rsid w:val="00CC6197"/>
    <w:rsid w:val="00D57407"/>
    <w:rsid w:val="00F1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10CB"/>
  <w15:chartTrackingRefBased/>
  <w15:docId w15:val="{680DDB34-2B03-4988-AF3A-C683C36F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394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94A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ead1">
    <w:name w:val="N-Head1"/>
    <w:basedOn w:val="Heading1"/>
    <w:link w:val="N-Head1Char"/>
    <w:qFormat/>
    <w:rsid w:val="00394A5E"/>
    <w:rPr>
      <w:rFonts w:ascii="Lucida Sans" w:hAnsi="Lucida Sans"/>
      <w:b/>
    </w:rPr>
  </w:style>
  <w:style w:type="character" w:customStyle="1" w:styleId="N-Head1Char">
    <w:name w:val="N-Head1 Char"/>
    <w:basedOn w:val="Heading1Char"/>
    <w:link w:val="N-Head1"/>
    <w:rsid w:val="00394A5E"/>
    <w:rPr>
      <w:rFonts w:ascii="Lucida Sans" w:eastAsiaTheme="majorEastAsia" w:hAnsi="Lucida Sans" w:cstheme="majorBidi"/>
      <w:b/>
      <w:color w:val="2F5496" w:themeColor="accent1" w:themeShade="BF"/>
      <w:sz w:val="32"/>
      <w:szCs w:val="32"/>
    </w:rPr>
  </w:style>
  <w:style w:type="character" w:customStyle="1" w:styleId="Heading1Char">
    <w:name w:val="Heading 1 Char"/>
    <w:basedOn w:val="DefaultParagraphFont"/>
    <w:link w:val="Heading1"/>
    <w:uiPriority w:val="9"/>
    <w:rsid w:val="00394A5E"/>
    <w:rPr>
      <w:rFonts w:asciiTheme="majorHAnsi" w:eastAsiaTheme="majorEastAsia" w:hAnsiTheme="majorHAnsi" w:cstheme="majorBidi"/>
      <w:color w:val="2F5496" w:themeColor="accent1" w:themeShade="BF"/>
      <w:sz w:val="32"/>
      <w:szCs w:val="32"/>
    </w:rPr>
  </w:style>
  <w:style w:type="paragraph" w:customStyle="1" w:styleId="N-Head2">
    <w:name w:val="N-Head2"/>
    <w:basedOn w:val="Heading2"/>
    <w:link w:val="N-Head2Char"/>
    <w:qFormat/>
    <w:rsid w:val="00394A5E"/>
    <w:pPr>
      <w:spacing w:before="120" w:after="120"/>
    </w:pPr>
    <w:rPr>
      <w:rFonts w:ascii="Lucida Sans" w:hAnsi="Lucida Sans"/>
      <w:sz w:val="24"/>
      <w:szCs w:val="24"/>
    </w:rPr>
  </w:style>
  <w:style w:type="character" w:customStyle="1" w:styleId="N-Head2Char">
    <w:name w:val="N-Head2 Char"/>
    <w:basedOn w:val="Heading2Char"/>
    <w:link w:val="N-Head2"/>
    <w:rsid w:val="00394A5E"/>
    <w:rPr>
      <w:rFonts w:ascii="Lucida Sans" w:eastAsiaTheme="majorEastAsia" w:hAnsi="Lucida Sans" w:cstheme="majorBidi"/>
      <w:color w:val="2F5496" w:themeColor="accent1" w:themeShade="BF"/>
      <w:sz w:val="24"/>
      <w:szCs w:val="24"/>
    </w:rPr>
  </w:style>
  <w:style w:type="character" w:customStyle="1" w:styleId="Heading2Char">
    <w:name w:val="Heading 2 Char"/>
    <w:basedOn w:val="DefaultParagraphFont"/>
    <w:link w:val="Heading2"/>
    <w:uiPriority w:val="9"/>
    <w:semiHidden/>
    <w:rsid w:val="00394A5E"/>
    <w:rPr>
      <w:rFonts w:asciiTheme="majorHAnsi" w:eastAsiaTheme="majorEastAsia" w:hAnsiTheme="majorHAnsi" w:cstheme="majorBidi"/>
      <w:color w:val="2F5496" w:themeColor="accent1" w:themeShade="BF"/>
      <w:sz w:val="26"/>
      <w:szCs w:val="26"/>
    </w:rPr>
  </w:style>
  <w:style w:type="paragraph" w:customStyle="1" w:styleId="N-Head3">
    <w:name w:val="N-Head3"/>
    <w:basedOn w:val="N-Head2"/>
    <w:link w:val="N-Head3Char"/>
    <w:qFormat/>
    <w:rsid w:val="00394A5E"/>
    <w:pPr>
      <w:spacing w:before="60" w:after="60"/>
    </w:pPr>
    <w:rPr>
      <w:b/>
    </w:rPr>
  </w:style>
  <w:style w:type="character" w:customStyle="1" w:styleId="N-Head3Char">
    <w:name w:val="N-Head3 Char"/>
    <w:basedOn w:val="N-Head2Char"/>
    <w:link w:val="N-Head3"/>
    <w:rsid w:val="00394A5E"/>
    <w:rPr>
      <w:rFonts w:ascii="Lucida Sans" w:eastAsiaTheme="majorEastAsia" w:hAnsi="Lucida Sans" w:cstheme="majorBidi"/>
      <w:b/>
      <w:color w:val="2F5496" w:themeColor="accent1" w:themeShade="BF"/>
      <w:sz w:val="24"/>
      <w:szCs w:val="24"/>
    </w:rPr>
  </w:style>
  <w:style w:type="paragraph" w:styleId="ListParagraph">
    <w:name w:val="List Paragraph"/>
    <w:basedOn w:val="Normal"/>
    <w:uiPriority w:val="34"/>
    <w:qFormat/>
    <w:rsid w:val="00F16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28941">
      <w:bodyDiv w:val="1"/>
      <w:marLeft w:val="0"/>
      <w:marRight w:val="0"/>
      <w:marTop w:val="0"/>
      <w:marBottom w:val="0"/>
      <w:divBdr>
        <w:top w:val="none" w:sz="0" w:space="0" w:color="auto"/>
        <w:left w:val="none" w:sz="0" w:space="0" w:color="auto"/>
        <w:bottom w:val="none" w:sz="0" w:space="0" w:color="auto"/>
        <w:right w:val="none" w:sz="0" w:space="0" w:color="auto"/>
      </w:divBdr>
    </w:div>
    <w:div w:id="63730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Hollyer</dc:creator>
  <cp:keywords/>
  <dc:description/>
  <cp:lastModifiedBy>Greg Hollyer</cp:lastModifiedBy>
  <cp:revision>3</cp:revision>
  <dcterms:created xsi:type="dcterms:W3CDTF">2020-05-26T14:55:00Z</dcterms:created>
  <dcterms:modified xsi:type="dcterms:W3CDTF">2020-06-08T17:19:00Z</dcterms:modified>
</cp:coreProperties>
</file>